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50AEE" w14:textId="77777777" w:rsidR="001F2546" w:rsidRPr="00C947EE" w:rsidRDefault="001F2546" w:rsidP="00C80FB5">
      <w:pPr>
        <w:rPr>
          <w:rFonts w:ascii="Times New Roman" w:eastAsia="標楷體" w:hAnsi="Times New Roman"/>
          <w:b/>
          <w:kern w:val="0"/>
          <w:sz w:val="32"/>
          <w:szCs w:val="24"/>
        </w:rPr>
      </w:pPr>
      <w:r w:rsidRPr="00C947EE">
        <w:rPr>
          <w:rFonts w:ascii="Times New Roman" w:eastAsia="標楷體" w:hAnsi="Times New Roman" w:hint="eastAsia"/>
          <w:b/>
          <w:bCs/>
          <w:sz w:val="32"/>
          <w:szCs w:val="24"/>
        </w:rPr>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00F42023" w:rsidRPr="00C947EE">
        <w:rPr>
          <w:rFonts w:ascii="Times New Roman" w:eastAsia="標楷體" w:hAnsi="Times New Roman" w:hint="eastAsia"/>
          <w:b/>
          <w:bCs/>
          <w:sz w:val="32"/>
          <w:szCs w:val="24"/>
        </w:rPr>
        <w:t>（修正</w:t>
      </w:r>
      <w:r w:rsidR="001D6620" w:rsidRPr="00C947EE">
        <w:rPr>
          <w:rFonts w:ascii="Times New Roman" w:eastAsia="標楷體" w:hAnsi="Times New Roman" w:hint="eastAsia"/>
          <w:b/>
          <w:bCs/>
          <w:sz w:val="32"/>
          <w:szCs w:val="24"/>
        </w:rPr>
        <w:t>後全</w:t>
      </w:r>
      <w:r w:rsidR="00F42023" w:rsidRPr="00C947EE">
        <w:rPr>
          <w:rFonts w:ascii="Times New Roman" w:eastAsia="標楷體" w:hAnsi="Times New Roman" w:hint="eastAsia"/>
          <w:b/>
          <w:bCs/>
          <w:sz w:val="32"/>
          <w:szCs w:val="24"/>
        </w:rPr>
        <w:t>條文）</w:t>
      </w:r>
    </w:p>
    <w:p w14:paraId="5BF50AEF" w14:textId="41CDC7E4" w:rsidR="001F2546" w:rsidRPr="00C947EE" w:rsidRDefault="00B62D3D" w:rsidP="00E54EAD">
      <w:pPr>
        <w:tabs>
          <w:tab w:val="left" w:pos="6379"/>
        </w:tabs>
        <w:spacing w:line="240" w:lineRule="exact"/>
        <w:ind w:leftChars="2244" w:left="5386"/>
        <w:rPr>
          <w:rFonts w:ascii="Times New Roman" w:eastAsia="標楷體" w:hAnsi="Times New Roman"/>
          <w:sz w:val="20"/>
          <w:szCs w:val="24"/>
        </w:rPr>
      </w:pPr>
      <w:bookmarkStart w:id="0" w:name="OLE_LINK4"/>
      <w:r w:rsidRPr="00C947EE">
        <w:rPr>
          <w:rFonts w:ascii="Times New Roman" w:eastAsia="標楷體" w:hAnsi="Times New Roman"/>
          <w:sz w:val="20"/>
          <w:szCs w:val="24"/>
        </w:rPr>
        <w:t>105.12.30</w:t>
      </w:r>
      <w:r w:rsidR="00F6152C"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00F6152C"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1ABA9F16" w14:textId="604D2CF8" w:rsidR="00F658D9" w:rsidRPr="00C947EE" w:rsidRDefault="00F658D9" w:rsidP="00E54EAD">
      <w:pPr>
        <w:tabs>
          <w:tab w:val="left" w:pos="6379"/>
        </w:tabs>
        <w:spacing w:line="240" w:lineRule="exact"/>
        <w:ind w:leftChars="2244" w:left="5386"/>
        <w:rPr>
          <w:rFonts w:ascii="Times New Roman" w:eastAsia="標楷體" w:hAnsi="Times New Roman"/>
          <w:sz w:val="20"/>
          <w:szCs w:val="24"/>
        </w:rPr>
      </w:pPr>
      <w:bookmarkStart w:id="1" w:name="OLE_LINK13"/>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bookmarkEnd w:id="1"/>
    </w:p>
    <w:p w14:paraId="0BC315BE" w14:textId="77777777" w:rsidR="00F6152C" w:rsidRPr="00C947EE" w:rsidRDefault="00F6152C" w:rsidP="00E54EAD">
      <w:pPr>
        <w:tabs>
          <w:tab w:val="left" w:pos="6379"/>
        </w:tabs>
        <w:spacing w:line="240" w:lineRule="exact"/>
        <w:ind w:leftChars="2244" w:left="5386"/>
        <w:rPr>
          <w:rFonts w:ascii="Times New Roman" w:eastAsia="標楷體" w:hAnsi="Times New Roman"/>
          <w:sz w:val="20"/>
          <w:szCs w:val="24"/>
        </w:rPr>
      </w:pPr>
    </w:p>
    <w:tbl>
      <w:tblPr>
        <w:tblW w:w="0" w:type="auto"/>
        <w:tblLook w:val="04A0" w:firstRow="1" w:lastRow="0" w:firstColumn="1" w:lastColumn="0" w:noHBand="0" w:noVBand="1"/>
      </w:tblPr>
      <w:tblGrid>
        <w:gridCol w:w="1495"/>
        <w:gridCol w:w="8144"/>
      </w:tblGrid>
      <w:tr w:rsidR="00C947EE" w:rsidRPr="00C947EE" w14:paraId="5BF50AF2" w14:textId="77777777" w:rsidTr="00C91B27">
        <w:trPr>
          <w:trHeight w:val="396"/>
        </w:trPr>
        <w:tc>
          <w:tcPr>
            <w:tcW w:w="1526" w:type="dxa"/>
            <w:vAlign w:val="center"/>
          </w:tcPr>
          <w:bookmarkEnd w:id="0"/>
          <w:p w14:paraId="5BF50AF0"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hint="eastAsia"/>
                <w:szCs w:val="24"/>
              </w:rPr>
              <w:t>第一章</w:t>
            </w:r>
          </w:p>
        </w:tc>
        <w:tc>
          <w:tcPr>
            <w:tcW w:w="8329" w:type="dxa"/>
            <w:vAlign w:val="center"/>
          </w:tcPr>
          <w:p w14:paraId="5BF50AF1"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總則</w:t>
            </w:r>
          </w:p>
        </w:tc>
      </w:tr>
      <w:tr w:rsidR="00C947EE" w:rsidRPr="00C947EE" w14:paraId="5BF50AF5" w14:textId="77777777" w:rsidTr="00C91B27">
        <w:trPr>
          <w:trHeight w:val="396"/>
        </w:trPr>
        <w:tc>
          <w:tcPr>
            <w:tcW w:w="1526" w:type="dxa"/>
          </w:tcPr>
          <w:p w14:paraId="5BF50AF3"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第一條</w:t>
            </w:r>
          </w:p>
        </w:tc>
        <w:tc>
          <w:tcPr>
            <w:tcW w:w="8329" w:type="dxa"/>
          </w:tcPr>
          <w:p w14:paraId="5BF50AF4"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本校教師新聘及升等資格，應依教育人員任用條例暨施行細則、專科以上學校教師資格審定辦法及有關規定辦理。</w:t>
            </w:r>
          </w:p>
        </w:tc>
      </w:tr>
      <w:tr w:rsidR="00C947EE" w:rsidRPr="00C947EE" w14:paraId="5BF50AF8" w14:textId="77777777" w:rsidTr="00C91B27">
        <w:tc>
          <w:tcPr>
            <w:tcW w:w="1526" w:type="dxa"/>
          </w:tcPr>
          <w:p w14:paraId="5BF50AF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第二條</w:t>
            </w:r>
          </w:p>
        </w:tc>
        <w:tc>
          <w:tcPr>
            <w:tcW w:w="8329" w:type="dxa"/>
          </w:tcPr>
          <w:p w14:paraId="5BF50AF7" w14:textId="77777777" w:rsidR="001D6620" w:rsidRPr="00C947EE" w:rsidRDefault="001D6620">
            <w:pPr>
              <w:ind w:rightChars="-50" w:right="-120"/>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r>
      <w:tr w:rsidR="00C947EE" w:rsidRPr="00C947EE" w14:paraId="5BF50AFC" w14:textId="77777777" w:rsidTr="00C91B27">
        <w:tc>
          <w:tcPr>
            <w:tcW w:w="1526" w:type="dxa"/>
          </w:tcPr>
          <w:p w14:paraId="5BF50AF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第三條</w:t>
            </w:r>
          </w:p>
        </w:tc>
        <w:tc>
          <w:tcPr>
            <w:tcW w:w="8329" w:type="dxa"/>
          </w:tcPr>
          <w:p w14:paraId="5BF50AFA"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論文</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所、中心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辦理教師資格審查。</w:t>
            </w:r>
          </w:p>
          <w:p w14:paraId="5BF50AFB"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前項教師新聘、升等之作業時程，由人事室另訂之，並於辦理前公告。</w:t>
            </w:r>
          </w:p>
        </w:tc>
      </w:tr>
      <w:tr w:rsidR="00C947EE" w:rsidRPr="00C947EE" w14:paraId="5BF50B15" w14:textId="77777777" w:rsidTr="00C91B27">
        <w:tc>
          <w:tcPr>
            <w:tcW w:w="1526" w:type="dxa"/>
          </w:tcPr>
          <w:p w14:paraId="5BF50AFD"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第四條</w:t>
            </w:r>
          </w:p>
        </w:tc>
        <w:tc>
          <w:tcPr>
            <w:tcW w:w="8329" w:type="dxa"/>
          </w:tcPr>
          <w:p w14:paraId="5F6D3724"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
          <w:p w14:paraId="7BE95171"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一、講師應具下列資格之一﹕</w:t>
            </w:r>
          </w:p>
          <w:p w14:paraId="40E6556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在研究院、所研究，得有碩士學位或同等學歷證書，並有專門著作者。如具有碩士學位，成績優良，無專門著作者，得依各學系工作性質及需要報請專案審查。</w:t>
            </w:r>
          </w:p>
          <w:p w14:paraId="5F68670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大學或獨立學院畢業，曾任助教，擔任協助教學或研究工作四年以上，成績優良，並有專門著作者。</w:t>
            </w:r>
          </w:p>
          <w:p w14:paraId="434654D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大學或獨立學院畢業，曾從事與所習學科有相關之研究工作、專門職業或職務六年以上，成績優良，並有專門著作者。</w:t>
            </w:r>
          </w:p>
          <w:p w14:paraId="7C324E6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二、助理教授應具下列資格之一﹕</w:t>
            </w:r>
          </w:p>
          <w:p w14:paraId="30F7383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173350B2"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具有碩士學位或其同等學歷證書，曾從事與所習學科有關之研究工作、專門職業或職務四年以上，成績優良，並有專門著作者。</w:t>
            </w:r>
          </w:p>
          <w:p w14:paraId="26AB8C8A"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大學或獨立學院醫學系、中醫學系、牙醫學系畢業，擔任臨床工作九年以上，其中至少曾任醫學中心主治醫師四年，成績優良，並有專門著作者。</w:t>
            </w:r>
          </w:p>
          <w:p w14:paraId="1E3B55B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四</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p w14:paraId="6554F1B3"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三、副教授應具下列資格之一﹕</w:t>
            </w:r>
          </w:p>
          <w:p w14:paraId="06C9492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具有博士學位或其同等學歷證書，曾從事與所習學科有關之研究工作、專門職業或職務四年以上，並有專門著作者。</w:t>
            </w:r>
          </w:p>
          <w:p w14:paraId="730830E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曾任助理教授三年以上，成績優良，並有專門著作者。</w:t>
            </w:r>
          </w:p>
          <w:p w14:paraId="1C4A43E0"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四、教授應具下列資格之一﹕</w:t>
            </w:r>
          </w:p>
          <w:p w14:paraId="681AB66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具有博士學位或其同等學歷證書，曾從事與所習學科有關之研究工作、專門職業或職務八年以上，有創作或發明，在學術上有重要貢獻或重要專門著作者。</w:t>
            </w:r>
          </w:p>
          <w:p w14:paraId="63D35E15"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曾任副教授三年以上，成績優良，並有重要專門著作者。</w:t>
            </w:r>
          </w:p>
          <w:p w14:paraId="3ECD4A55"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
          <w:p w14:paraId="64A97EA3"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szCs w:val="24"/>
              </w:rPr>
              <w:t>構</w:t>
            </w:r>
            <w:r w:rsidRPr="00C947EE">
              <w:rPr>
                <w:rFonts w:ascii="Times New Roman" w:eastAsia="標楷體" w:hAnsi="Times New Roman"/>
                <w:szCs w:val="24"/>
              </w:rPr>
              <w:t>)</w:t>
            </w:r>
            <w:r w:rsidRPr="00C947EE">
              <w:rPr>
                <w:rFonts w:ascii="Times New Roman" w:eastAsia="標楷體" w:hAnsi="Times New Roman"/>
                <w:szCs w:val="24"/>
              </w:rPr>
              <w:t>正式核發之服務證明所載起迄年月計算。</w:t>
            </w:r>
          </w:p>
          <w:p w14:paraId="556C124C"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二、曾任教師之年資，依教師證書所載年資起算之年月計算。兼任教師年資</w:t>
            </w:r>
            <w:r w:rsidRPr="00C947EE">
              <w:rPr>
                <w:rFonts w:ascii="Times New Roman" w:eastAsia="標楷體" w:hAnsi="Times New Roman"/>
                <w:szCs w:val="24"/>
              </w:rPr>
              <w:lastRenderedPageBreak/>
              <w:t>折半計算。</w:t>
            </w:r>
          </w:p>
          <w:p w14:paraId="2E06DAB5"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三、專任教師經核准全時進修、研究者，於升等時其全時進修、研究期間年資最多採計一年，經核准借調者，於升等時其借調年資最多採計二年。</w:t>
            </w:r>
          </w:p>
          <w:p w14:paraId="58011736"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四、以全時在國內外進修、研究或出國講學，該學期未實際在校授課者不得送審。</w:t>
            </w:r>
          </w:p>
          <w:p w14:paraId="5BF50B14" w14:textId="49528E79" w:rsidR="001D6620"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r>
      <w:tr w:rsidR="00C947EE" w:rsidRPr="00C947EE" w14:paraId="5BF50B24" w14:textId="77777777" w:rsidTr="00C91B27">
        <w:tc>
          <w:tcPr>
            <w:tcW w:w="1526" w:type="dxa"/>
          </w:tcPr>
          <w:p w14:paraId="5BF50B1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lastRenderedPageBreak/>
              <w:t>第五條</w:t>
            </w:r>
          </w:p>
        </w:tc>
        <w:tc>
          <w:tcPr>
            <w:tcW w:w="8329" w:type="dxa"/>
          </w:tcPr>
          <w:p w14:paraId="5BF50B1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5BF50B18"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5BF50B19"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04C531B9" w14:textId="5E1D743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一</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體格健康仍堪繼續從事教學工作。</w:t>
            </w:r>
          </w:p>
          <w:p w14:paraId="53B8D319" w14:textId="64CD13D1"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教學研究表現優良。</w:t>
            </w:r>
          </w:p>
          <w:p w14:paraId="5BF50B1C" w14:textId="70785745"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二、特殊條件，應符合下列各目之一：</w:t>
            </w:r>
          </w:p>
          <w:p w14:paraId="173FB748" w14:textId="199F374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一</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擔任中央研究院院士或他國國家科學院院士。</w:t>
            </w:r>
          </w:p>
          <w:p w14:paraId="0266FA6F" w14:textId="77B795C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曾擔任國家講座主持人。</w:t>
            </w:r>
          </w:p>
          <w:p w14:paraId="43A22D6B" w14:textId="5FF4AE0F"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三</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曾獲總統科學獎。</w:t>
            </w:r>
          </w:p>
          <w:p w14:paraId="3FB54B73" w14:textId="7C386BE7"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四</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曾獲行政院傑出科技貢獻獎。</w:t>
            </w:r>
          </w:p>
          <w:p w14:paraId="291C42A3" w14:textId="110E80B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五</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曾獲教育部學術獎。</w:t>
            </w:r>
          </w:p>
          <w:p w14:paraId="3C35221C" w14:textId="225C27FA" w:rsidR="003378C3" w:rsidRPr="00C947EE" w:rsidRDefault="003378C3">
            <w:pPr>
              <w:widowControl/>
              <w:ind w:leftChars="200" w:left="960" w:hangingChars="200" w:hanging="480"/>
              <w:rPr>
                <w:rFonts w:ascii="Times New Roman" w:eastAsia="標楷體" w:hAnsi="Times New Roman"/>
                <w:kern w:val="0"/>
                <w:szCs w:val="24"/>
              </w:rPr>
            </w:pPr>
            <w:bookmarkStart w:id="2" w:name="OLE_LINK9"/>
            <w:r w:rsidRPr="00C947EE">
              <w:rPr>
                <w:rFonts w:ascii="Times New Roman" w:eastAsia="標楷體" w:hAnsi="Times New Roman"/>
                <w:kern w:val="0"/>
                <w:szCs w:val="24"/>
              </w:rPr>
              <w:t>(</w:t>
            </w:r>
            <w:r w:rsidRPr="00C947EE">
              <w:rPr>
                <w:rFonts w:ascii="Times New Roman" w:eastAsia="標楷體" w:hAnsi="Times New Roman" w:hint="eastAsia"/>
                <w:kern w:val="0"/>
                <w:szCs w:val="24"/>
              </w:rPr>
              <w:t>六</w:t>
            </w:r>
            <w:r w:rsidRPr="00C947EE">
              <w:rPr>
                <w:rFonts w:ascii="Times New Roman" w:eastAsia="標楷體" w:hAnsi="Times New Roman"/>
                <w:kern w:val="0"/>
                <w:szCs w:val="24"/>
              </w:rPr>
              <w:t>)</w:t>
            </w:r>
            <w:bookmarkEnd w:id="2"/>
            <w:r w:rsidRPr="00C947EE">
              <w:rPr>
                <w:rFonts w:ascii="Times New Roman" w:eastAsia="標楷體" w:hAnsi="Times New Roman" w:hint="eastAsia"/>
                <w:kern w:val="0"/>
                <w:szCs w:val="24"/>
              </w:rPr>
              <w:t>高被引學者。</w:t>
            </w:r>
          </w:p>
          <w:p w14:paraId="5BF50B23" w14:textId="484E0A13" w:rsidR="001D6620"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曾獲科技部傑出研究獎勵三次以上。</w:t>
            </w:r>
          </w:p>
        </w:tc>
      </w:tr>
      <w:tr w:rsidR="00C947EE" w:rsidRPr="00C947EE" w14:paraId="5BF50B28" w14:textId="77777777" w:rsidTr="00C91B27">
        <w:tc>
          <w:tcPr>
            <w:tcW w:w="1526" w:type="dxa"/>
          </w:tcPr>
          <w:p w14:paraId="5BF50B2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第六條</w:t>
            </w:r>
          </w:p>
        </w:tc>
        <w:tc>
          <w:tcPr>
            <w:tcW w:w="8329" w:type="dxa"/>
          </w:tcPr>
          <w:p w14:paraId="5BF50B2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教師之新聘或升等應經系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教師評審委員會（以下簡稱系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hint="eastAsia"/>
                <w:kern w:val="0"/>
                <w:szCs w:val="24"/>
              </w:rPr>
              <w:t>院級</w:t>
            </w:r>
            <w:r w:rsidRPr="00C947EE">
              <w:rPr>
                <w:rFonts w:ascii="Times New Roman" w:eastAsia="標楷體" w:hAnsi="Times New Roman"/>
                <w:kern w:val="0"/>
                <w:szCs w:val="24"/>
              </w:rPr>
              <w:t>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BF50B27" w14:textId="77777777" w:rsidR="001D6620" w:rsidRPr="00C947EE" w:rsidRDefault="001D6620">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學校基於校務發展需要，延攬海內外學術研究傑出或特殊領域教師，且具教育部教授、副教授部證資格者，經專案核定後得逕由院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教評會及校教評會審查。</w:t>
            </w:r>
          </w:p>
        </w:tc>
      </w:tr>
      <w:tr w:rsidR="00C947EE" w:rsidRPr="00C947EE" w14:paraId="5BF50B2B" w14:textId="77777777" w:rsidTr="00C91B27">
        <w:tc>
          <w:tcPr>
            <w:tcW w:w="1526" w:type="dxa"/>
          </w:tcPr>
          <w:p w14:paraId="5BF50B29"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第七條</w:t>
            </w:r>
          </w:p>
        </w:tc>
        <w:tc>
          <w:tcPr>
            <w:tcW w:w="8329" w:type="dxa"/>
          </w:tcPr>
          <w:p w14:paraId="5BF50B2A" w14:textId="546C3B2B" w:rsidR="007B0C96" w:rsidRPr="00C947EE" w:rsidRDefault="00E72F6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szCs w:val="24"/>
                <w:u w:val="single"/>
              </w:rPr>
              <w:t>公告招募期間至少一個月以上，公告途徑須含本校、教育部及各專業領域徵才網站，以利廣招國內外優秀人才</w:t>
            </w:r>
            <w:r w:rsidRPr="00C947EE">
              <w:rPr>
                <w:rFonts w:ascii="Times New Roman" w:eastAsia="標楷體" w:hAnsi="Times New Roman"/>
                <w:szCs w:val="24"/>
              </w:rPr>
              <w:t>。應徵資料由人事室轉交學系（所、中心）務會議或學科科務會議辦理教師甄選，</w:t>
            </w:r>
            <w:r w:rsidRPr="00C947EE">
              <w:rPr>
                <w:rFonts w:ascii="Times New Roman" w:eastAsia="標楷體" w:hAnsi="Times New Roman"/>
                <w:szCs w:val="24"/>
                <w:u w:val="single"/>
              </w:rPr>
              <w:t>徵聘單位應審議所有應徵人員資料並做成紀錄送各級教評會備查</w:t>
            </w:r>
            <w:r w:rsidRPr="00C947EE">
              <w:rPr>
                <w:rFonts w:ascii="Times New Roman" w:eastAsia="標楷體" w:hAnsi="Times New Roman"/>
                <w:szCs w:val="24"/>
              </w:rPr>
              <w:t>。</w:t>
            </w:r>
          </w:p>
        </w:tc>
      </w:tr>
      <w:tr w:rsidR="00C947EE" w:rsidRPr="00C947EE" w14:paraId="5BF50B34" w14:textId="77777777" w:rsidTr="00C91B27">
        <w:tc>
          <w:tcPr>
            <w:tcW w:w="1526" w:type="dxa"/>
          </w:tcPr>
          <w:p w14:paraId="5BF50B2C"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第八條</w:t>
            </w:r>
          </w:p>
        </w:tc>
        <w:tc>
          <w:tcPr>
            <w:tcW w:w="8329" w:type="dxa"/>
          </w:tcPr>
          <w:p w14:paraId="5BF50B2D" w14:textId="09617DA3" w:rsidR="001D6620" w:rsidRPr="00C947EE" w:rsidRDefault="001D6620" w:rsidP="004731FA">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續任教而未中斷，得依原升等辦法送審；但審定程序及標準仍應依本辦法辦理，其原辦法申請資格如下﹕</w:t>
            </w:r>
          </w:p>
          <w:p w14:paraId="6A84E652" w14:textId="6D0ACFD8"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一、在研究院、所研究，得有碩士學位或其同等學歷證書，成績優良者。</w:t>
            </w:r>
          </w:p>
          <w:p w14:paraId="0784C57D" w14:textId="3DBA7E44"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二、已取得助教證書者，得以曾任助教擔任協助教學或研究工作四年以上，成績優良，並有專門著作，申請送審講師資格。</w:t>
            </w:r>
          </w:p>
          <w:p w14:paraId="7C1D87AA" w14:textId="06EAD09C"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三、已取得講師證書，具有下列資格之一者，得申請逕送副教授資格審查，但必須符合修正分級後其副教授之要求水準。</w:t>
            </w:r>
          </w:p>
          <w:p w14:paraId="403CA19E" w14:textId="0C518A04" w:rsidR="003378C3"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110EEF5" w14:textId="401A10C4" w:rsidR="003378C3" w:rsidRPr="00C947EE" w:rsidRDefault="003378C3" w:rsidP="004731FA">
            <w:pPr>
              <w:widowControl/>
              <w:ind w:leftChars="200" w:left="888" w:hangingChars="170" w:hanging="408"/>
              <w:rPr>
                <w:rFonts w:ascii="Times New Roman" w:eastAsia="標楷體" w:hAnsi="Times New Roman"/>
                <w:szCs w:val="24"/>
              </w:rPr>
            </w:pPr>
            <w:bookmarkStart w:id="3" w:name="OLE_LINK10"/>
            <w:r w:rsidRPr="00C947EE">
              <w:rPr>
                <w:rFonts w:ascii="Times New Roman" w:eastAsia="標楷體" w:hAnsi="Times New Roman"/>
                <w:szCs w:val="24"/>
              </w:rPr>
              <w:lastRenderedPageBreak/>
              <w:t>(</w:t>
            </w:r>
            <w:r w:rsidRPr="00C947EE">
              <w:rPr>
                <w:rFonts w:ascii="Times New Roman" w:eastAsia="標楷體" w:hAnsi="Times New Roman" w:hint="eastAsia"/>
                <w:szCs w:val="24"/>
              </w:rPr>
              <w:t>二</w:t>
            </w:r>
            <w:r w:rsidRPr="00C947EE">
              <w:rPr>
                <w:rFonts w:ascii="Times New Roman" w:eastAsia="標楷體" w:hAnsi="Times New Roman"/>
                <w:szCs w:val="24"/>
              </w:rPr>
              <w:t>)</w:t>
            </w:r>
            <w:bookmarkEnd w:id="3"/>
            <w:r w:rsidRPr="00C947EE">
              <w:rPr>
                <w:rFonts w:ascii="Times New Roman" w:eastAsia="標楷體" w:hAnsi="Times New Roman" w:hint="eastAsia"/>
                <w:szCs w:val="24"/>
              </w:rPr>
              <w:t>具有碩士學位或其同等學歷證書，曾從事與所習學科有關之研究工作、專門職業或職務四年以上，成績優良，並有專門著作者。</w:t>
            </w:r>
          </w:p>
          <w:p w14:paraId="5BF50B33" w14:textId="09CCAAD5" w:rsidR="001D6620"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tc>
      </w:tr>
      <w:tr w:rsidR="00C947EE" w:rsidRPr="00C947EE" w14:paraId="5BF50B3D" w14:textId="77777777" w:rsidTr="00C91B27">
        <w:tc>
          <w:tcPr>
            <w:tcW w:w="1526" w:type="dxa"/>
          </w:tcPr>
          <w:p w14:paraId="5BF50B35"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lastRenderedPageBreak/>
              <w:t>第九條</w:t>
            </w:r>
          </w:p>
        </w:tc>
        <w:tc>
          <w:tcPr>
            <w:tcW w:w="8329" w:type="dxa"/>
          </w:tcPr>
          <w:p w14:paraId="30645BAB"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依本辦法送審之專門著作，應有個人之原創性，除不得以整理、增刪、組合或編排他人著作而成之編著送審外，並應符合下列之規定﹕</w:t>
            </w:r>
          </w:p>
          <w:p w14:paraId="151D82BE"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282D81C6"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二、以二種以上著作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送審者，應擇一為代表著作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，其餘列為參考著作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szCs w:val="24"/>
              </w:rPr>
              <w:t>年。</w:t>
            </w:r>
          </w:p>
          <w:p w14:paraId="74D85F18"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三、用外國文撰寫之著作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，必須加附中文摘要，但任教科目為外國語文者，應以所授語文撰寫。</w:t>
            </w:r>
          </w:p>
          <w:p w14:paraId="2BC51794"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四、引用資料應註明出處，並附參考書目。</w:t>
            </w:r>
          </w:p>
          <w:p w14:paraId="432645FB"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五、代表著作如係數人合著，授權各學院自訂以第一作者或通訊作者送審為原則</w:t>
            </w:r>
            <w:r w:rsidRPr="00C947EE">
              <w:rPr>
                <w:rFonts w:ascii="Times New Roman" w:eastAsia="標楷體" w:hAnsi="Times New Roman"/>
                <w:szCs w:val="24"/>
                <w:u w:val="single"/>
              </w:rPr>
              <w:t>；送審時，送審人以外他人應放棄以該專門著作、作品、成就證明或技術報告作為代表著作送審之權利。送審人應</w:t>
            </w:r>
            <w:r w:rsidRPr="00C947EE">
              <w:rPr>
                <w:rFonts w:ascii="Times New Roman" w:eastAsia="標楷體" w:hAnsi="Times New Roman"/>
                <w:szCs w:val="24"/>
              </w:rPr>
              <w:t>以書面</w:t>
            </w:r>
            <w:r w:rsidRPr="00C947EE">
              <w:rPr>
                <w:rFonts w:ascii="Times New Roman" w:eastAsia="標楷體" w:hAnsi="Times New Roman"/>
                <w:szCs w:val="24"/>
                <w:u w:val="single"/>
              </w:rPr>
              <w:t>具體</w:t>
            </w:r>
            <w:r w:rsidRPr="00C947EE">
              <w:rPr>
                <w:rFonts w:ascii="Times New Roman" w:eastAsia="標楷體" w:hAnsi="Times New Roman"/>
                <w:szCs w:val="24"/>
              </w:rPr>
              <w:t>說明</w:t>
            </w:r>
            <w:r w:rsidRPr="00C947EE">
              <w:rPr>
                <w:rFonts w:ascii="Times New Roman" w:eastAsia="標楷體" w:hAnsi="Times New Roman"/>
                <w:szCs w:val="24"/>
                <w:u w:val="single"/>
              </w:rPr>
              <w:t>其</w:t>
            </w:r>
            <w:r w:rsidRPr="00C947EE">
              <w:rPr>
                <w:rFonts w:ascii="Times New Roman" w:eastAsia="標楷體" w:hAnsi="Times New Roman"/>
                <w:szCs w:val="24"/>
              </w:rPr>
              <w:t>參與部分，並由合著人簽章證明。</w:t>
            </w:r>
          </w:p>
          <w:p w14:paraId="5BF50B3C" w14:textId="03E5BAFF" w:rsidR="007B0C96"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kern w:val="0"/>
                <w:szCs w:val="24"/>
              </w:rPr>
              <w:t>六、教師自取得前一等級教師資格至下次申請升等期間，所有個人在專業或學術上之成果，得一併作為送審之參考資料。</w:t>
            </w:r>
          </w:p>
        </w:tc>
      </w:tr>
      <w:tr w:rsidR="00C947EE" w:rsidRPr="00C947EE" w14:paraId="5BF50B41" w14:textId="77777777" w:rsidTr="00C91B27">
        <w:trPr>
          <w:trHeight w:val="979"/>
        </w:trPr>
        <w:tc>
          <w:tcPr>
            <w:tcW w:w="1526" w:type="dxa"/>
          </w:tcPr>
          <w:p w14:paraId="5BF50B3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第十條</w:t>
            </w:r>
          </w:p>
        </w:tc>
        <w:tc>
          <w:tcPr>
            <w:tcW w:w="8329" w:type="dxa"/>
          </w:tcPr>
          <w:p w14:paraId="5BF50B3F"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教師除以專門著作送審外，亦得以技術報告或教學實務成果報告作為代表著作送審。</w:t>
            </w:r>
          </w:p>
          <w:p w14:paraId="5BF50B40"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szCs w:val="24"/>
              </w:rPr>
              <w:t>教師升等分為綜合型、教學研究型、應用技術型及研究型等多元途徑。</w:t>
            </w:r>
          </w:p>
        </w:tc>
      </w:tr>
      <w:tr w:rsidR="00C947EE" w:rsidRPr="00C947EE" w14:paraId="5BF50B44" w14:textId="77777777" w:rsidTr="00C91B27">
        <w:tc>
          <w:tcPr>
            <w:tcW w:w="1526" w:type="dxa"/>
          </w:tcPr>
          <w:p w14:paraId="5BF50B42"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第十一條</w:t>
            </w:r>
          </w:p>
        </w:tc>
        <w:tc>
          <w:tcPr>
            <w:tcW w:w="8329" w:type="dxa"/>
          </w:tcPr>
          <w:p w14:paraId="5BF50B43"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新聘、升等審查分初審、複審、決審三級，分別由各級教評會審查。新聘及升等計分標準另訂定之。</w:t>
            </w:r>
          </w:p>
        </w:tc>
      </w:tr>
      <w:tr w:rsidR="00C947EE" w:rsidRPr="00C947EE" w14:paraId="5BF50B47" w14:textId="77777777" w:rsidTr="00C91B27">
        <w:tc>
          <w:tcPr>
            <w:tcW w:w="1526" w:type="dxa"/>
          </w:tcPr>
          <w:p w14:paraId="5BF50B4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第二章</w:t>
            </w:r>
          </w:p>
        </w:tc>
        <w:tc>
          <w:tcPr>
            <w:tcW w:w="8329" w:type="dxa"/>
          </w:tcPr>
          <w:p w14:paraId="5BF50B4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hint="eastAsia"/>
                <w:kern w:val="0"/>
                <w:szCs w:val="24"/>
              </w:rPr>
              <w:t>新聘</w:t>
            </w:r>
          </w:p>
        </w:tc>
      </w:tr>
      <w:tr w:rsidR="00C947EE" w:rsidRPr="00C947EE" w14:paraId="5BF50B55" w14:textId="77777777" w:rsidTr="00C91B27">
        <w:tc>
          <w:tcPr>
            <w:tcW w:w="1526" w:type="dxa"/>
          </w:tcPr>
          <w:p w14:paraId="5BF50B48" w14:textId="77777777" w:rsidR="007B0C96" w:rsidRPr="00C947EE" w:rsidRDefault="007B0C96" w:rsidP="004731FA">
            <w:pPr>
              <w:jc w:val="both"/>
              <w:rPr>
                <w:rFonts w:ascii="Times New Roman" w:eastAsia="標楷體" w:hAnsi="Times New Roman"/>
                <w:kern w:val="0"/>
                <w:szCs w:val="24"/>
              </w:rPr>
            </w:pPr>
            <w:r w:rsidRPr="00C947EE">
              <w:rPr>
                <w:rFonts w:ascii="Times New Roman" w:eastAsia="標楷體" w:hAnsi="Times New Roman"/>
                <w:szCs w:val="24"/>
              </w:rPr>
              <w:t>第十二條</w:t>
            </w:r>
          </w:p>
        </w:tc>
        <w:tc>
          <w:tcPr>
            <w:tcW w:w="8329" w:type="dxa"/>
          </w:tcPr>
          <w:p w14:paraId="68C96FE1" w14:textId="77777777" w:rsidR="00E72F65" w:rsidRPr="00C947EE" w:rsidRDefault="00E72F65" w:rsidP="004731FA">
            <w:pPr>
              <w:rPr>
                <w:rFonts w:ascii="Times New Roman" w:eastAsia="標楷體" w:hAnsi="Times New Roman"/>
                <w:kern w:val="0"/>
                <w:szCs w:val="24"/>
              </w:rPr>
            </w:pPr>
            <w:bookmarkStart w:id="4" w:name="OLE_LINK22"/>
            <w:r w:rsidRPr="00C947EE">
              <w:rPr>
                <w:rFonts w:ascii="Times New Roman" w:eastAsia="標楷體" w:hAnsi="Times New Roman"/>
                <w:kern w:val="0"/>
                <w:szCs w:val="24"/>
              </w:rPr>
              <w:t>辦理教師新聘之作業如下：</w:t>
            </w:r>
          </w:p>
          <w:p w14:paraId="12D60613"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37B3B9A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由系級教評會辦理，召開前先由系級教評會或授權部分委員先就申請人之年資、任用或送審資格、著作形式及學經歷證件等進行預審及查核。</w:t>
            </w:r>
          </w:p>
          <w:p w14:paraId="04E52E35"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14:paraId="672A5D20"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經初審通過之申請人，系級教評會召集人應依據會議決議，加註評語連同總成績、送審著作及會議紀錄送請該院級教評會複審。</w:t>
            </w:r>
          </w:p>
          <w:p w14:paraId="5F43857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二、複審：</w:t>
            </w:r>
          </w:p>
          <w:p w14:paraId="3C641533" w14:textId="77777777" w:rsidR="00E72F65" w:rsidRPr="00C947EE" w:rsidRDefault="00E72F65" w:rsidP="004731FA">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院級教評會參考申請人之教學、研究、服務及輔導等是否符合學院（中心）發展目標和研究評量計分標準進行審查，審議時須有三分</w:t>
            </w:r>
            <w:r w:rsidRPr="00C947EE">
              <w:rPr>
                <w:rFonts w:ascii="Times New Roman" w:eastAsia="標楷體" w:hAnsi="Times New Roman"/>
                <w:szCs w:val="24"/>
              </w:rPr>
              <w:lastRenderedPageBreak/>
              <w:t>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外審成績結果送回院級教評會進行評議。評議通過之申請人即通過複審。</w:t>
            </w:r>
          </w:p>
          <w:p w14:paraId="668E1FB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kern w:val="0"/>
                <w:szCs w:val="24"/>
              </w:rPr>
              <w:t>申請人</w:t>
            </w:r>
            <w:r w:rsidRPr="00C947EE">
              <w:rPr>
                <w:rFonts w:ascii="Times New Roman" w:eastAsia="標楷體" w:hAnsi="Times New Roman"/>
                <w:szCs w:val="24"/>
              </w:rPr>
              <w:t>，院級教評會召集人應加註教學、服務及其他應行考慮事項之評語，連同評審成績、各項表件、會議紀錄及其送審著作送請校教評會決審。</w:t>
            </w:r>
          </w:p>
          <w:p w14:paraId="75648A2C"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2D15A52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326CD99A"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14E4B10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54" w14:textId="69F7F7B5"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行政單位於辦理本條所定程序中發現送審資料之疑義時，應提送校級教評會審議。</w:t>
            </w:r>
            <w:bookmarkEnd w:id="4"/>
          </w:p>
        </w:tc>
      </w:tr>
      <w:tr w:rsidR="00C947EE" w:rsidRPr="00C947EE" w14:paraId="5BF50B58" w14:textId="77777777" w:rsidTr="00C91B27">
        <w:tc>
          <w:tcPr>
            <w:tcW w:w="1526" w:type="dxa"/>
          </w:tcPr>
          <w:p w14:paraId="5BF50B5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lastRenderedPageBreak/>
              <w:t>第十三條</w:t>
            </w:r>
          </w:p>
        </w:tc>
        <w:tc>
          <w:tcPr>
            <w:tcW w:w="8329" w:type="dxa"/>
          </w:tcPr>
          <w:p w14:paraId="5BF50B57"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C947EE" w:rsidRPr="00C947EE" w14:paraId="5BF50B5B" w14:textId="77777777" w:rsidTr="00C91B27">
        <w:tc>
          <w:tcPr>
            <w:tcW w:w="1526" w:type="dxa"/>
          </w:tcPr>
          <w:p w14:paraId="5BF50B5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第三章</w:t>
            </w:r>
          </w:p>
        </w:tc>
        <w:tc>
          <w:tcPr>
            <w:tcW w:w="8329" w:type="dxa"/>
          </w:tcPr>
          <w:p w14:paraId="5BF50B5A" w14:textId="77777777" w:rsidR="001D6620" w:rsidRPr="00C947EE" w:rsidRDefault="001D6620">
            <w:pPr>
              <w:rPr>
                <w:rFonts w:ascii="Times New Roman" w:eastAsia="標楷體" w:hAnsi="Times New Roman"/>
                <w:szCs w:val="24"/>
              </w:rPr>
            </w:pPr>
            <w:r w:rsidRPr="00C947EE">
              <w:rPr>
                <w:rFonts w:ascii="Times New Roman" w:eastAsia="標楷體" w:hAnsi="Times New Roman" w:hint="eastAsia"/>
                <w:szCs w:val="24"/>
              </w:rPr>
              <w:t>升等</w:t>
            </w:r>
          </w:p>
        </w:tc>
      </w:tr>
      <w:tr w:rsidR="00C947EE" w:rsidRPr="00C947EE" w14:paraId="5BF50B6A" w14:textId="77777777" w:rsidTr="00C91B27">
        <w:tc>
          <w:tcPr>
            <w:tcW w:w="1526" w:type="dxa"/>
          </w:tcPr>
          <w:p w14:paraId="5BF50B5C"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tc>
        <w:tc>
          <w:tcPr>
            <w:tcW w:w="8329" w:type="dxa"/>
          </w:tcPr>
          <w:p w14:paraId="0E8811B1" w14:textId="77777777" w:rsidR="00E72F65" w:rsidRPr="00C947EE" w:rsidRDefault="00E72F65" w:rsidP="004731FA">
            <w:pPr>
              <w:rPr>
                <w:rFonts w:ascii="Times New Roman" w:eastAsia="標楷體" w:hAnsi="Times New Roman"/>
                <w:kern w:val="0"/>
                <w:szCs w:val="24"/>
              </w:rPr>
            </w:pPr>
            <w:bookmarkStart w:id="5" w:name="OLE_LINK23"/>
            <w:r w:rsidRPr="00C947EE">
              <w:rPr>
                <w:rFonts w:ascii="Times New Roman" w:eastAsia="標楷體" w:hAnsi="Times New Roman"/>
                <w:kern w:val="0"/>
                <w:szCs w:val="24"/>
              </w:rPr>
              <w:t>辦理教師升等之作業如下：</w:t>
            </w:r>
          </w:p>
          <w:p w14:paraId="151B5BEA"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55A1E4B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由系級教評會辦理，召開前先由系級教評會或授權部分委員先就申請教師之年資、任用或送審資格、著作形式及學經歷證件等進行預審及查核。</w:t>
            </w:r>
          </w:p>
          <w:p w14:paraId="3ED02FF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經預審通過之教師，再由系級教評會就申請升等教師之教學、研究、服務及輔導等評量成績進行審查並給予綜合評審，教學、研究、服務輔導及綜合評分等總成績達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分以上即為通過初審（各分項成績計算公式請參照附表）。</w:t>
            </w:r>
          </w:p>
          <w:p w14:paraId="53CD4816"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經初審通過之教師，系級教評會召集人應依據會議決議，加註評語連同總成績、送審著作及會議紀錄送請該院級教評會複審。</w:t>
            </w:r>
          </w:p>
          <w:p w14:paraId="05534BA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二、複審：</w:t>
            </w:r>
          </w:p>
          <w:p w14:paraId="678A59C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由院級教評會辦理。就初審紀錄及申請教師之教學、研究、服務及輔導等評量成績進行審查並給予綜合評審，教學、研究、服務及輔導、綜合評分等總成績達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分以上即為審查通過（各分項成績計算公式請參照附表）。</w:t>
            </w:r>
          </w:p>
          <w:p w14:paraId="41A3EB48"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審查通過者，由學校辦理著作外審。外審成績結果送回院級教評會進行評議。評議通過之教師即通過複審。</w:t>
            </w:r>
          </w:p>
          <w:p w14:paraId="488612E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經複審通過之教師，院級教評會召集人應加註教學、服務及其他應行考慮事項之評語，連同評審成績、各項表件、會議紀錄及其送審著作送請校教評會決審。</w:t>
            </w:r>
          </w:p>
          <w:p w14:paraId="5A8F26E4"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40D3DAE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1A81ED9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14:paraId="0583B41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69" w14:textId="0BB0EF1C"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行政單位於辦理本條所定程序中發現送審資料之疑義時，應提送校級教評會審議。</w:t>
            </w:r>
            <w:bookmarkEnd w:id="5"/>
          </w:p>
        </w:tc>
      </w:tr>
      <w:tr w:rsidR="00C947EE" w:rsidRPr="00C947EE" w14:paraId="5BF50B6D" w14:textId="77777777" w:rsidTr="00C91B27">
        <w:tc>
          <w:tcPr>
            <w:tcW w:w="1526" w:type="dxa"/>
          </w:tcPr>
          <w:p w14:paraId="5BF50B6B"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hint="eastAsia"/>
                <w:szCs w:val="24"/>
              </w:rPr>
              <w:lastRenderedPageBreak/>
              <w:t>第十五條</w:t>
            </w:r>
          </w:p>
        </w:tc>
        <w:tc>
          <w:tcPr>
            <w:tcW w:w="8329" w:type="dxa"/>
          </w:tcPr>
          <w:p w14:paraId="5BF50B6C" w14:textId="520F19E7" w:rsidR="007B0C96" w:rsidRPr="00C947EE" w:rsidRDefault="00E72F65">
            <w:pPr>
              <w:rPr>
                <w:rFonts w:ascii="Times New Roman" w:eastAsia="標楷體" w:hAnsi="Times New Roman"/>
                <w:kern w:val="0"/>
                <w:szCs w:val="24"/>
              </w:rPr>
            </w:pPr>
            <w:r w:rsidRPr="00C947EE">
              <w:rPr>
                <w:rFonts w:ascii="Times New Roman" w:eastAsia="標楷體" w:hAnsi="Times New Roman"/>
                <w:szCs w:val="24"/>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C947EE" w:rsidRPr="00C947EE" w14:paraId="5BF50B70" w14:textId="77777777" w:rsidTr="00C91B27">
        <w:tc>
          <w:tcPr>
            <w:tcW w:w="1526" w:type="dxa"/>
          </w:tcPr>
          <w:p w14:paraId="5BF50B6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第四章</w:t>
            </w:r>
          </w:p>
        </w:tc>
        <w:tc>
          <w:tcPr>
            <w:tcW w:w="8329" w:type="dxa"/>
          </w:tcPr>
          <w:p w14:paraId="5BF50B6F" w14:textId="77777777" w:rsidR="001D6620" w:rsidRPr="00C947EE" w:rsidRDefault="001D6620" w:rsidP="004731FA">
            <w:pPr>
              <w:widowControl/>
              <w:rPr>
                <w:rFonts w:ascii="Times New Roman" w:eastAsia="標楷體" w:hAnsi="Times New Roman"/>
                <w:kern w:val="0"/>
                <w:szCs w:val="24"/>
              </w:rPr>
            </w:pPr>
            <w:r w:rsidRPr="00C947EE">
              <w:rPr>
                <w:rFonts w:ascii="Times New Roman" w:eastAsia="標楷體" w:hAnsi="Times New Roman" w:hint="eastAsia"/>
                <w:kern w:val="0"/>
                <w:szCs w:val="24"/>
              </w:rPr>
              <w:t>其他規定</w:t>
            </w:r>
          </w:p>
        </w:tc>
      </w:tr>
      <w:tr w:rsidR="00C947EE" w:rsidRPr="00C947EE" w14:paraId="5BF50B75" w14:textId="77777777" w:rsidTr="00C91B27">
        <w:tc>
          <w:tcPr>
            <w:tcW w:w="1526" w:type="dxa"/>
          </w:tcPr>
          <w:p w14:paraId="5BF50B71" w14:textId="77777777" w:rsidR="000233FC" w:rsidRPr="00C947EE" w:rsidRDefault="000233FC" w:rsidP="004731FA">
            <w:pPr>
              <w:jc w:val="both"/>
              <w:rPr>
                <w:rFonts w:ascii="Times New Roman" w:eastAsia="標楷體" w:hAnsi="Times New Roman"/>
                <w:szCs w:val="24"/>
              </w:rPr>
            </w:pPr>
            <w:r w:rsidRPr="00C947EE">
              <w:rPr>
                <w:rFonts w:ascii="Times New Roman" w:eastAsia="標楷體" w:hAnsi="Times New Roman" w:hint="eastAsia"/>
                <w:szCs w:val="24"/>
              </w:rPr>
              <w:t>第十六條</w:t>
            </w:r>
          </w:p>
        </w:tc>
        <w:tc>
          <w:tcPr>
            <w:tcW w:w="8329" w:type="dxa"/>
          </w:tcPr>
          <w:p w14:paraId="7071B20D"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szCs w:val="24"/>
              </w:rPr>
              <w:t>申請人可提供迴避名單</w:t>
            </w:r>
            <w:r w:rsidRPr="00C947EE">
              <w:rPr>
                <w:rFonts w:ascii="Times New Roman" w:eastAsia="標楷體" w:hAnsi="Times New Roman"/>
                <w:szCs w:val="24"/>
              </w:rPr>
              <w:t>3</w:t>
            </w:r>
            <w:r w:rsidRPr="00C947EE">
              <w:rPr>
                <w:rFonts w:ascii="Times New Roman" w:eastAsia="標楷體" w:hAnsi="Times New Roman"/>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szCs w:val="24"/>
              </w:rPr>
              <w:t>人，辦理著作外審，至少</w:t>
            </w:r>
            <w:r w:rsidRPr="00C947EE">
              <w:rPr>
                <w:rFonts w:ascii="Times New Roman" w:eastAsia="標楷體" w:hAnsi="Times New Roman"/>
                <w:szCs w:val="24"/>
              </w:rPr>
              <w:t>4</w:t>
            </w:r>
            <w:r w:rsidRPr="00C947EE">
              <w:rPr>
                <w:rFonts w:ascii="Times New Roman" w:eastAsia="標楷體" w:hAnsi="Times New Roman"/>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szCs w:val="24"/>
              </w:rPr>
              <w:t>人，</w:t>
            </w:r>
            <w:r w:rsidRPr="00C947EE">
              <w:rPr>
                <w:rFonts w:ascii="Times New Roman" w:eastAsia="標楷體" w:hAnsi="Times New Roman"/>
                <w:szCs w:val="24"/>
              </w:rPr>
              <w:t>2</w:t>
            </w:r>
            <w:r w:rsidRPr="00C947EE">
              <w:rPr>
                <w:rFonts w:ascii="Times New Roman" w:eastAsia="標楷體" w:hAnsi="Times New Roman"/>
                <w:szCs w:val="24"/>
              </w:rPr>
              <w:t>人及格為通過。</w:t>
            </w:r>
          </w:p>
          <w:p w14:paraId="54C8944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kern w:val="0"/>
                <w:szCs w:val="24"/>
              </w:rPr>
              <w:t>著作（論文）外審圈選小組由校教評會主席籌組。</w:t>
            </w:r>
          </w:p>
          <w:p w14:paraId="5BF50B74" w14:textId="499FCF5E" w:rsidR="000233FC" w:rsidRPr="00C947EE" w:rsidRDefault="00E72F65" w:rsidP="004731FA">
            <w:pPr>
              <w:widowControl/>
              <w:rPr>
                <w:rFonts w:ascii="Times New Roman" w:eastAsia="標楷體" w:hAnsi="Times New Roman"/>
                <w:kern w:val="0"/>
                <w:szCs w:val="24"/>
              </w:rPr>
            </w:pPr>
            <w:r w:rsidRPr="00C947EE">
              <w:rPr>
                <w:rFonts w:ascii="Times New Roman" w:eastAsia="標楷體" w:hAnsi="Times New Roman"/>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tc>
      </w:tr>
      <w:tr w:rsidR="00C947EE" w:rsidRPr="00C947EE" w14:paraId="5BF50B7A" w14:textId="77777777" w:rsidTr="00C91B27">
        <w:tc>
          <w:tcPr>
            <w:tcW w:w="1526" w:type="dxa"/>
          </w:tcPr>
          <w:p w14:paraId="5BF50B7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七</w:t>
            </w:r>
            <w:r w:rsidRPr="00C947EE">
              <w:rPr>
                <w:rFonts w:ascii="Times New Roman" w:eastAsia="標楷體" w:hAnsi="Times New Roman"/>
                <w:szCs w:val="24"/>
              </w:rPr>
              <w:t>條</w:t>
            </w:r>
          </w:p>
        </w:tc>
        <w:tc>
          <w:tcPr>
            <w:tcW w:w="8329" w:type="dxa"/>
          </w:tcPr>
          <w:p w14:paraId="5BF50B77"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hint="eastAsia"/>
                <w:szCs w:val="24"/>
              </w:rPr>
              <w:t>含教學實務</w:t>
            </w:r>
            <w:r w:rsidRPr="00C947EE">
              <w:rPr>
                <w:rFonts w:ascii="Times New Roman" w:eastAsia="標楷體" w:hAnsi="Times New Roman"/>
                <w:szCs w:val="24"/>
              </w:rPr>
              <w:t>)</w:t>
            </w:r>
            <w:r w:rsidRPr="00C947EE">
              <w:rPr>
                <w:rFonts w:ascii="Times New Roman" w:eastAsia="標楷體" w:hAnsi="Times New Roman" w:hint="eastAsia"/>
                <w:szCs w:val="24"/>
              </w:rPr>
              <w:t>成績之參考依據，各級教評會除能提出具有專業學術依據之具體理由，動搖</w:t>
            </w:r>
            <w:r w:rsidRPr="00C947EE">
              <w:rPr>
                <w:rFonts w:ascii="Times New Roman" w:eastAsia="標楷體" w:hAnsi="Times New Roman" w:hint="eastAsia"/>
                <w:kern w:val="0"/>
                <w:szCs w:val="24"/>
              </w:rPr>
              <w:t>該專業審查之可信度與正確性外，應尊重學者專家之判斷結果</w:t>
            </w:r>
            <w:r w:rsidRPr="00C947EE">
              <w:rPr>
                <w:rFonts w:ascii="Times New Roman" w:eastAsia="標楷體" w:hAnsi="Times New Roman" w:hint="eastAsia"/>
                <w:szCs w:val="24"/>
              </w:rPr>
              <w:t>；各級教評會除就名額、年資、教學成果等因素予以斟酌外，不應對申請教師專業學術能力以多數決方式否決。</w:t>
            </w:r>
          </w:p>
          <w:p w14:paraId="5BF50B78"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各級教評會違反前項規定者，上級教評會應不予核備並發回原教評會重新審議或得由校長發回原教評會重新審議。</w:t>
            </w:r>
          </w:p>
          <w:p w14:paraId="5BF50B79"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教師專門著作</w:t>
            </w:r>
            <w:r w:rsidRPr="00C947EE">
              <w:rPr>
                <w:rFonts w:ascii="Times New Roman" w:eastAsia="標楷體" w:hAnsi="Times New Roman"/>
                <w:szCs w:val="24"/>
              </w:rPr>
              <w:t>(</w:t>
            </w:r>
            <w:r w:rsidRPr="00C947EE">
              <w:rPr>
                <w:rFonts w:ascii="Times New Roman" w:eastAsia="標楷體" w:hAnsi="Times New Roman" w:hint="eastAsia"/>
                <w:szCs w:val="24"/>
              </w:rPr>
              <w:t>包含學位論文</w:t>
            </w:r>
            <w:r w:rsidRPr="00C947EE">
              <w:rPr>
                <w:rFonts w:ascii="Times New Roman" w:eastAsia="標楷體" w:hAnsi="Times New Roman"/>
                <w:szCs w:val="24"/>
              </w:rPr>
              <w:t>)</w:t>
            </w:r>
            <w:r w:rsidRPr="00C947EE">
              <w:rPr>
                <w:rFonts w:ascii="Times New Roman" w:eastAsia="標楷體" w:hAnsi="Times New Roman" w:hint="eastAsia"/>
                <w:szCs w:val="24"/>
              </w:rPr>
              <w:t>、技術報告及教學實務成果報告之評審項目及標準另訂定之。</w:t>
            </w:r>
          </w:p>
        </w:tc>
      </w:tr>
      <w:tr w:rsidR="00C947EE" w:rsidRPr="00C947EE" w14:paraId="5BF50B8E" w14:textId="77777777" w:rsidTr="00C91B27">
        <w:tc>
          <w:tcPr>
            <w:tcW w:w="1526" w:type="dxa"/>
          </w:tcPr>
          <w:p w14:paraId="5BF50B7B" w14:textId="77777777" w:rsidR="00C91B27" w:rsidRPr="00C947EE" w:rsidRDefault="00C91B27">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tc>
        <w:tc>
          <w:tcPr>
            <w:tcW w:w="8329" w:type="dxa"/>
          </w:tcPr>
          <w:p w14:paraId="184D090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其他新聘、升等作業規定如下：</w:t>
            </w:r>
          </w:p>
          <w:p w14:paraId="5E600937"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一、各級教評會應就名額、年資、教學成果等因素予以審慎斟酌。各級教評會對升等申請教師之升等資料，如有認定之疑義，應邀請升等申請教師提出書面或列席說明。</w:t>
            </w:r>
          </w:p>
          <w:p w14:paraId="254E5B3F"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二、系級教評會審查前得邀請每一候選人，以送審代表著作（論文）為題作學術演講。</w:t>
            </w:r>
          </w:p>
          <w:p w14:paraId="4A0F58A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三、專門著作送請學者專家審查，對審查人、評審過程及審查人之評審意見，除依規定提供教師申訴受理機關及其他救濟機關外，應予保密，以維持評審之公正性。</w:t>
            </w:r>
          </w:p>
          <w:p w14:paraId="49C9C80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四、各級教評會對升等或新聘審查未通過者，應具體敘明其理由以書面通知當事人。如為升等資格審查案應告知當事人對決定不服時之申覆及申訴管道及程序。</w:t>
            </w:r>
          </w:p>
          <w:p w14:paraId="5D0C8771" w14:textId="77777777" w:rsidR="00E72F65" w:rsidRPr="00C947EE" w:rsidRDefault="00E72F65" w:rsidP="004731FA">
            <w:pPr>
              <w:ind w:left="480" w:hangingChars="200" w:hanging="480"/>
              <w:rPr>
                <w:rFonts w:ascii="Times New Roman" w:eastAsia="標楷體" w:hAnsi="Times New Roman"/>
                <w:szCs w:val="24"/>
                <w:u w:val="single"/>
              </w:rPr>
            </w:pPr>
            <w:r w:rsidRPr="00C947EE">
              <w:rPr>
                <w:rFonts w:ascii="Times New Roman" w:eastAsia="標楷體" w:hAnsi="Times New Roman"/>
                <w:szCs w:val="24"/>
              </w:rPr>
              <w:lastRenderedPageBreak/>
              <w:t>五、</w:t>
            </w:r>
            <w:r w:rsidRPr="00C947EE">
              <w:rPr>
                <w:rFonts w:ascii="Times New Roman" w:eastAsia="標楷體" w:hAnsi="Times New Roman"/>
                <w:szCs w:val="24"/>
                <w:u w:val="single"/>
              </w:rPr>
              <w:t>審議升等或新聘案時，應符合下列迴避事項：</w:t>
            </w:r>
          </w:p>
          <w:p w14:paraId="44B4E965"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一</w:t>
            </w:r>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評審委員及著作審查學者專家與送審人有下列關係者應自行迴避：</w:t>
            </w:r>
          </w:p>
          <w:p w14:paraId="6B6A9E6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szCs w:val="24"/>
                <w:u w:val="single"/>
              </w:rPr>
              <w:t>曾有指導博士、碩士學位論文之師生關係。</w:t>
            </w:r>
          </w:p>
          <w:p w14:paraId="744AF58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配偶、前配偶、四親等內之血親或三親等內之姻親或曾有此關係者。</w:t>
            </w:r>
          </w:p>
          <w:p w14:paraId="7AB9693E"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szCs w:val="24"/>
                <w:u w:val="single"/>
              </w:rPr>
              <w:t>。</w:t>
            </w:r>
          </w:p>
          <w:p w14:paraId="36077AD1"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szCs w:val="24"/>
                <w:u w:val="single"/>
              </w:rPr>
              <w:t>相關利害關係人。</w:t>
            </w:r>
          </w:p>
          <w:p w14:paraId="57FF712D"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szCs w:val="24"/>
                <w:u w:val="single"/>
              </w:rPr>
              <w:t>依其他法律或規定應予迴避。</w:t>
            </w:r>
          </w:p>
          <w:p w14:paraId="7DA5AF99"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二</w:t>
            </w:r>
            <w:r w:rsidRPr="00C947EE">
              <w:rPr>
                <w:rFonts w:ascii="Times New Roman" w:eastAsia="標楷體" w:hAnsi="Times New Roman"/>
                <w:szCs w:val="24"/>
                <w:u w:val="single"/>
              </w:rPr>
              <w:t>)</w:t>
            </w:r>
            <w:r w:rsidRPr="00C947EE">
              <w:rPr>
                <w:rFonts w:ascii="Times New Roman" w:eastAsia="標楷體" w:hAnsi="Times New Roman"/>
                <w:szCs w:val="24"/>
                <w:u w:val="single"/>
              </w:rPr>
              <w:t>有下列事情形之一者，送審人得申請迴避：</w:t>
            </w:r>
          </w:p>
          <w:p w14:paraId="584E822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有上開所定之情形而不自行迴避者。</w:t>
            </w:r>
          </w:p>
          <w:p w14:paraId="56E32E70"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有具體事證足認其執行職務有偏頗之虞者。</w:t>
            </w:r>
          </w:p>
          <w:p w14:paraId="64796197" w14:textId="77777777" w:rsidR="00E72F65" w:rsidRPr="00C947EE" w:rsidRDefault="00E72F65" w:rsidP="004731FA">
            <w:pPr>
              <w:ind w:leftChars="209" w:left="502" w:firstLineChars="3" w:firstLine="7"/>
              <w:rPr>
                <w:rFonts w:ascii="Times New Roman" w:eastAsia="標楷體" w:hAnsi="Times New Roman"/>
                <w:szCs w:val="24"/>
                <w:u w:val="single"/>
              </w:rPr>
            </w:pPr>
            <w:r w:rsidRPr="00C947EE">
              <w:rPr>
                <w:rFonts w:ascii="Times New Roman" w:eastAsia="標楷體" w:hAnsi="Times New Roman"/>
                <w:szCs w:val="24"/>
                <w:u w:val="single"/>
              </w:rPr>
              <w:t>本目申請，由各級教評會審議之。</w:t>
            </w:r>
          </w:p>
          <w:p w14:paraId="1FA1D51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szCs w:val="24"/>
                <w:u w:val="single"/>
              </w:rPr>
              <w:t>三</w:t>
            </w:r>
            <w:r w:rsidRPr="00C947EE">
              <w:rPr>
                <w:rFonts w:ascii="Times New Roman" w:eastAsia="標楷體" w:hAnsi="Times New Roman"/>
                <w:szCs w:val="24"/>
                <w:u w:val="single"/>
              </w:rPr>
              <w:t>)</w:t>
            </w:r>
            <w:r w:rsidRPr="00C947EE">
              <w:rPr>
                <w:rFonts w:ascii="Times New Roman" w:eastAsia="標楷體" w:hAnsi="Times New Roman"/>
                <w:szCs w:val="24"/>
                <w:u w:val="single"/>
              </w:rPr>
              <w:t>相關人員有上開所定之情形而未自行迴避，或其執行職務有偏頗之虞者，各級教評會應依職權命其迴避。</w:t>
            </w:r>
          </w:p>
          <w:p w14:paraId="5BF50B8D" w14:textId="3D5897F2" w:rsidR="00C91B27"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szCs w:val="24"/>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C947EE" w:rsidRPr="00C947EE" w14:paraId="5BF50B92" w14:textId="77777777" w:rsidTr="00C91B27">
        <w:tc>
          <w:tcPr>
            <w:tcW w:w="1526" w:type="dxa"/>
          </w:tcPr>
          <w:p w14:paraId="5BF50B8F"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九</w:t>
            </w:r>
            <w:r w:rsidRPr="00C947EE">
              <w:rPr>
                <w:rFonts w:ascii="Times New Roman" w:eastAsia="標楷體" w:hAnsi="Times New Roman"/>
                <w:szCs w:val="24"/>
              </w:rPr>
              <w:t>條</w:t>
            </w:r>
          </w:p>
        </w:tc>
        <w:tc>
          <w:tcPr>
            <w:tcW w:w="8329" w:type="dxa"/>
          </w:tcPr>
          <w:p w14:paraId="5BF50B90"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szCs w:val="24"/>
              </w:rPr>
              <w:t>申請升等教師對評審結果有異議時，得向各級教評會提出書面申覆，或向教師申訴評議委員會提出申訴，申覆及申訴辦法另訂定之。</w:t>
            </w:r>
          </w:p>
          <w:p w14:paraId="5BF50B91"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升等教師於本校三級教評會審查程序未完成前或經人事室報請教育部保留起資時，送審人不得再次申請同一等級教師資格審查。</w:t>
            </w:r>
          </w:p>
        </w:tc>
      </w:tr>
      <w:tr w:rsidR="00C947EE" w:rsidRPr="00C947EE" w14:paraId="5BF50B95" w14:textId="77777777" w:rsidTr="00C91B27">
        <w:tc>
          <w:tcPr>
            <w:tcW w:w="1526" w:type="dxa"/>
          </w:tcPr>
          <w:p w14:paraId="5BF50B93" w14:textId="2C72A3C8" w:rsidR="001D6620" w:rsidRPr="00C947EE" w:rsidRDefault="00FD5D31" w:rsidP="004731FA">
            <w:pPr>
              <w:jc w:val="both"/>
              <w:rPr>
                <w:rFonts w:ascii="Times New Roman" w:eastAsia="標楷體" w:hAnsi="Times New Roman"/>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tc>
        <w:tc>
          <w:tcPr>
            <w:tcW w:w="8329" w:type="dxa"/>
          </w:tcPr>
          <w:p w14:paraId="5BF50B94"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由教育部、科技部資聘之講座、客座教授、副教授或客座學者專家均依其聘約規定聘任。</w:t>
            </w:r>
          </w:p>
        </w:tc>
      </w:tr>
      <w:tr w:rsidR="00C947EE" w:rsidRPr="00C947EE" w14:paraId="5BF50B98" w14:textId="77777777" w:rsidTr="00C91B27">
        <w:tc>
          <w:tcPr>
            <w:tcW w:w="1526" w:type="dxa"/>
          </w:tcPr>
          <w:p w14:paraId="5BF50B96"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一</w:t>
            </w:r>
            <w:r w:rsidRPr="00C947EE">
              <w:rPr>
                <w:rFonts w:ascii="Times New Roman" w:eastAsia="標楷體" w:hAnsi="Times New Roman"/>
                <w:szCs w:val="24"/>
              </w:rPr>
              <w:t>條</w:t>
            </w:r>
          </w:p>
        </w:tc>
        <w:tc>
          <w:tcPr>
            <w:tcW w:w="8329" w:type="dxa"/>
          </w:tcPr>
          <w:p w14:paraId="5BF50B9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r>
      <w:tr w:rsidR="00C947EE" w:rsidRPr="00C947EE" w14:paraId="5BF50B9B" w14:textId="77777777" w:rsidTr="00C91B27">
        <w:tc>
          <w:tcPr>
            <w:tcW w:w="1526" w:type="dxa"/>
          </w:tcPr>
          <w:p w14:paraId="5BF50B99"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二</w:t>
            </w:r>
            <w:r w:rsidRPr="00C947EE">
              <w:rPr>
                <w:rFonts w:ascii="Times New Roman" w:eastAsia="標楷體" w:hAnsi="Times New Roman"/>
                <w:szCs w:val="24"/>
              </w:rPr>
              <w:t>條</w:t>
            </w:r>
          </w:p>
        </w:tc>
        <w:tc>
          <w:tcPr>
            <w:tcW w:w="8329" w:type="dxa"/>
          </w:tcPr>
          <w:p w14:paraId="5BF50B9A"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本辦法經校務會議通過後實施。</w:t>
            </w:r>
          </w:p>
        </w:tc>
      </w:tr>
    </w:tbl>
    <w:p w14:paraId="572E1994" w14:textId="77777777" w:rsidR="00ED6EB7" w:rsidRPr="00C947EE" w:rsidRDefault="00ED6EB7" w:rsidP="00242C18">
      <w:pPr>
        <w:pStyle w:val="1"/>
        <w:spacing w:before="0" w:beforeAutospacing="0" w:after="0" w:afterAutospacing="0"/>
        <w:rPr>
          <w:rFonts w:ascii="Times New Roman" w:eastAsia="標楷體" w:hAnsi="Times New Roman"/>
          <w:szCs w:val="24"/>
        </w:rPr>
      </w:pPr>
      <w:bookmarkStart w:id="6" w:name="_GoBack"/>
      <w:bookmarkEnd w:id="6"/>
    </w:p>
    <w:sectPr w:rsidR="00ED6EB7" w:rsidRPr="00C947EE" w:rsidSect="00FE1E15">
      <w:footerReference w:type="default" r:id="rId7"/>
      <w:pgSz w:w="11907" w:h="16839" w:code="9"/>
      <w:pgMar w:top="567" w:right="1134" w:bottom="567"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7DA99" w14:textId="77777777" w:rsidR="007E078C" w:rsidRDefault="007E078C" w:rsidP="006C485F">
      <w:r>
        <w:separator/>
      </w:r>
    </w:p>
  </w:endnote>
  <w:endnote w:type="continuationSeparator" w:id="0">
    <w:p w14:paraId="38CF349D" w14:textId="77777777" w:rsidR="007E078C" w:rsidRDefault="007E078C"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0BD7" w14:textId="1AFDE11B" w:rsidR="00C80FB5" w:rsidRDefault="00C80FB5">
    <w:pPr>
      <w:pStyle w:val="a5"/>
      <w:jc w:val="center"/>
    </w:pPr>
    <w:r>
      <w:rPr>
        <w:lang w:val="en-US"/>
      </w:rPr>
      <w:fldChar w:fldCharType="begin"/>
    </w:r>
    <w:r>
      <w:instrText xml:space="preserve"> PAGE   \* MERGEFORMAT </w:instrText>
    </w:r>
    <w:r>
      <w:rPr>
        <w:lang w:val="en-US"/>
      </w:rPr>
      <w:fldChar w:fldCharType="separate"/>
    </w:r>
    <w:r w:rsidR="00242C18" w:rsidRPr="00242C18">
      <w:rPr>
        <w:noProof/>
        <w:lang w:val="zh-TW"/>
      </w:rPr>
      <w:t>4</w:t>
    </w:r>
    <w:r>
      <w:rPr>
        <w:noProof/>
        <w:lang w:val="zh-TW"/>
      </w:rPr>
      <w:fldChar w:fldCharType="end"/>
    </w:r>
  </w:p>
  <w:p w14:paraId="5BF50BD8" w14:textId="77777777" w:rsidR="00C80FB5" w:rsidRDefault="00C80F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CECA" w14:textId="77777777" w:rsidR="007E078C" w:rsidRDefault="007E078C" w:rsidP="006C485F">
      <w:r>
        <w:separator/>
      </w:r>
    </w:p>
  </w:footnote>
  <w:footnote w:type="continuationSeparator" w:id="0">
    <w:p w14:paraId="5866E82F" w14:textId="77777777" w:rsidR="007E078C" w:rsidRDefault="007E078C"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267"/>
    <w:multiLevelType w:val="hybridMultilevel"/>
    <w:tmpl w:val="C6E4A13E"/>
    <w:lvl w:ilvl="0" w:tplc="65363692">
      <w:start w:val="1"/>
      <w:numFmt w:val="taiwaneseCountingThousand"/>
      <w:suff w:val="space"/>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69067C5"/>
    <w:multiLevelType w:val="hybridMultilevel"/>
    <w:tmpl w:val="5E72BB1C"/>
    <w:lvl w:ilvl="0" w:tplc="CFE299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2F66A2"/>
    <w:multiLevelType w:val="hybridMultilevel"/>
    <w:tmpl w:val="2DFCA4F8"/>
    <w:lvl w:ilvl="0" w:tplc="C19E5F4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F5C414C2"/>
    <w:lvl w:ilvl="0" w:tplc="9774D43E">
      <w:start w:val="1"/>
      <w:numFmt w:val="bullet"/>
      <w:lvlText w:val="•"/>
      <w:lvlJc w:val="left"/>
      <w:pPr>
        <w:ind w:left="928" w:hanging="360"/>
      </w:pPr>
      <w:rPr>
        <w:rFonts w:ascii="新細明體" w:eastAsia="新細明體" w:hAnsi="新細明體" w:hint="eastAsia"/>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5" w15:restartNumberingAfterBreak="0">
    <w:nsid w:val="105A7E0A"/>
    <w:multiLevelType w:val="hybridMultilevel"/>
    <w:tmpl w:val="CA50DAE0"/>
    <w:lvl w:ilvl="0" w:tplc="53DA6068">
      <w:start w:val="1"/>
      <w:numFmt w:val="taiwaneseCountingThousand"/>
      <w:suff w:val="space"/>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7B6CF7"/>
    <w:multiLevelType w:val="hybridMultilevel"/>
    <w:tmpl w:val="1990124A"/>
    <w:lvl w:ilvl="0" w:tplc="0DB66AF0">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C61F27"/>
    <w:multiLevelType w:val="hybridMultilevel"/>
    <w:tmpl w:val="CBFC262A"/>
    <w:lvl w:ilvl="0" w:tplc="336E49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1163B"/>
    <w:multiLevelType w:val="hybridMultilevel"/>
    <w:tmpl w:val="24461D2C"/>
    <w:lvl w:ilvl="0" w:tplc="E08854D8">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C40F5C"/>
    <w:multiLevelType w:val="hybridMultilevel"/>
    <w:tmpl w:val="DF1E2C5E"/>
    <w:lvl w:ilvl="0" w:tplc="018EF47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06899"/>
    <w:multiLevelType w:val="hybridMultilevel"/>
    <w:tmpl w:val="B8C02EBA"/>
    <w:lvl w:ilvl="0" w:tplc="DB1AF65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C77434"/>
    <w:multiLevelType w:val="hybridMultilevel"/>
    <w:tmpl w:val="775A5BE6"/>
    <w:lvl w:ilvl="0" w:tplc="2EB2CC0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56537A"/>
    <w:multiLevelType w:val="hybridMultilevel"/>
    <w:tmpl w:val="9306F6D4"/>
    <w:lvl w:ilvl="0" w:tplc="A59A95F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D9324E"/>
    <w:multiLevelType w:val="hybridMultilevel"/>
    <w:tmpl w:val="2D603E96"/>
    <w:lvl w:ilvl="0" w:tplc="F70E9C0A">
      <w:start w:val="1"/>
      <w:numFmt w:val="taiwaneseCountingThousand"/>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72D2ECE"/>
    <w:multiLevelType w:val="hybridMultilevel"/>
    <w:tmpl w:val="497C8508"/>
    <w:lvl w:ilvl="0" w:tplc="0A584480">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042F4"/>
    <w:multiLevelType w:val="hybridMultilevel"/>
    <w:tmpl w:val="ACB89738"/>
    <w:lvl w:ilvl="0" w:tplc="CBCCE6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8175F3"/>
    <w:multiLevelType w:val="hybridMultilevel"/>
    <w:tmpl w:val="80F806DA"/>
    <w:lvl w:ilvl="0" w:tplc="AC9C607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A0204C"/>
    <w:multiLevelType w:val="hybridMultilevel"/>
    <w:tmpl w:val="87C05C0C"/>
    <w:lvl w:ilvl="0" w:tplc="9F5050F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4D1736"/>
    <w:multiLevelType w:val="hybridMultilevel"/>
    <w:tmpl w:val="A946909E"/>
    <w:lvl w:ilvl="0" w:tplc="4C8862E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283B7B"/>
    <w:multiLevelType w:val="hybridMultilevel"/>
    <w:tmpl w:val="2D38328C"/>
    <w:lvl w:ilvl="0" w:tplc="9EA22F78">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C973FF"/>
    <w:multiLevelType w:val="hybridMultilevel"/>
    <w:tmpl w:val="6C3A4784"/>
    <w:lvl w:ilvl="0" w:tplc="26D4E992">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40B4F38"/>
    <w:multiLevelType w:val="hybridMultilevel"/>
    <w:tmpl w:val="45983EE6"/>
    <w:lvl w:ilvl="0" w:tplc="65FE3044">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6A543D"/>
    <w:multiLevelType w:val="hybridMultilevel"/>
    <w:tmpl w:val="B38C7C1E"/>
    <w:lvl w:ilvl="0" w:tplc="AE125C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3DF1028F"/>
    <w:multiLevelType w:val="hybridMultilevel"/>
    <w:tmpl w:val="9BD48C2A"/>
    <w:lvl w:ilvl="0" w:tplc="4C74822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4C2541"/>
    <w:multiLevelType w:val="hybridMultilevel"/>
    <w:tmpl w:val="EF16B29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62A7E4F"/>
    <w:multiLevelType w:val="hybridMultilevel"/>
    <w:tmpl w:val="4DF4EB94"/>
    <w:lvl w:ilvl="0" w:tplc="E08854D8">
      <w:start w:val="1"/>
      <w:numFmt w:val="taiwaneseCountingThousand"/>
      <w:lvlText w:val="%1、"/>
      <w:lvlJc w:val="left"/>
      <w:pPr>
        <w:ind w:left="1284" w:hanging="720"/>
      </w:pPr>
      <w:rPr>
        <w:rFonts w:hAnsi="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15:restartNumberingAfterBreak="0">
    <w:nsid w:val="47F72279"/>
    <w:multiLevelType w:val="hybridMultilevel"/>
    <w:tmpl w:val="BFB2A240"/>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743D7B"/>
    <w:multiLevelType w:val="hybridMultilevel"/>
    <w:tmpl w:val="FFA03E4E"/>
    <w:lvl w:ilvl="0" w:tplc="0F6E49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9" w15:restartNumberingAfterBreak="0">
    <w:nsid w:val="544D4F05"/>
    <w:multiLevelType w:val="hybridMultilevel"/>
    <w:tmpl w:val="8AB00D3A"/>
    <w:lvl w:ilvl="0" w:tplc="5D38A32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BE6F3C"/>
    <w:multiLevelType w:val="hybridMultilevel"/>
    <w:tmpl w:val="07663BE0"/>
    <w:lvl w:ilvl="0" w:tplc="9FC0136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7010456"/>
    <w:multiLevelType w:val="hybridMultilevel"/>
    <w:tmpl w:val="F1F614AE"/>
    <w:lvl w:ilvl="0" w:tplc="F70E9C0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9C3787"/>
    <w:multiLevelType w:val="hybridMultilevel"/>
    <w:tmpl w:val="9A449FAE"/>
    <w:lvl w:ilvl="0" w:tplc="55C03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052474"/>
    <w:multiLevelType w:val="hybridMultilevel"/>
    <w:tmpl w:val="02A6FC2E"/>
    <w:lvl w:ilvl="0" w:tplc="4DA669E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457BD9"/>
    <w:multiLevelType w:val="hybridMultilevel"/>
    <w:tmpl w:val="D0A862A8"/>
    <w:lvl w:ilvl="0" w:tplc="A448FE1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626A44"/>
    <w:multiLevelType w:val="hybridMultilevel"/>
    <w:tmpl w:val="5EBE21C6"/>
    <w:lvl w:ilvl="0" w:tplc="D34C8DE2">
      <w:start w:val="1"/>
      <w:numFmt w:val="taiwaneseCountingThousand"/>
      <w:lvlText w:val="%1、"/>
      <w:lvlJc w:val="left"/>
      <w:pPr>
        <w:ind w:left="480" w:hanging="480"/>
      </w:pPr>
      <w:rPr>
        <w:rFonts w:hint="eastAsia"/>
      </w:rPr>
    </w:lvl>
    <w:lvl w:ilvl="1" w:tplc="564405A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BC7794"/>
    <w:multiLevelType w:val="hybridMultilevel"/>
    <w:tmpl w:val="CFC0A39E"/>
    <w:lvl w:ilvl="0" w:tplc="866A368E">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DBF76BA"/>
    <w:multiLevelType w:val="hybridMultilevel"/>
    <w:tmpl w:val="2FB0FB5E"/>
    <w:lvl w:ilvl="0" w:tplc="0F72FE30">
      <w:start w:val="1"/>
      <w:numFmt w:val="taiwaneseCountingThousand"/>
      <w:suff w:val="space"/>
      <w:lvlText w:val="%1、"/>
      <w:lvlJc w:val="left"/>
      <w:pPr>
        <w:ind w:left="1918" w:hanging="480"/>
      </w:pPr>
      <w:rPr>
        <w:rFonts w:cs="Times New Roman" w:hint="eastAsia"/>
      </w:rPr>
    </w:lvl>
    <w:lvl w:ilvl="1" w:tplc="04090019" w:tentative="1">
      <w:start w:val="1"/>
      <w:numFmt w:val="ideographTraditional"/>
      <w:lvlText w:val="%2、"/>
      <w:lvlJc w:val="left"/>
      <w:pPr>
        <w:ind w:left="2398" w:hanging="480"/>
      </w:pPr>
      <w:rPr>
        <w:rFonts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38" w15:restartNumberingAfterBreak="0">
    <w:nsid w:val="72FD17EC"/>
    <w:multiLevelType w:val="hybridMultilevel"/>
    <w:tmpl w:val="85C0900A"/>
    <w:lvl w:ilvl="0" w:tplc="EAAE96C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CF7850"/>
    <w:multiLevelType w:val="hybridMultilevel"/>
    <w:tmpl w:val="E95AB65C"/>
    <w:lvl w:ilvl="0" w:tplc="056C46E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8"/>
  </w:num>
  <w:num w:numId="3">
    <w:abstractNumId w:val="22"/>
  </w:num>
  <w:num w:numId="4">
    <w:abstractNumId w:val="25"/>
  </w:num>
  <w:num w:numId="5">
    <w:abstractNumId w:val="37"/>
  </w:num>
  <w:num w:numId="6">
    <w:abstractNumId w:val="4"/>
  </w:num>
  <w:num w:numId="7">
    <w:abstractNumId w:val="30"/>
  </w:num>
  <w:num w:numId="8">
    <w:abstractNumId w:val="34"/>
  </w:num>
  <w:num w:numId="9">
    <w:abstractNumId w:val="27"/>
  </w:num>
  <w:num w:numId="10">
    <w:abstractNumId w:val="38"/>
  </w:num>
  <w:num w:numId="11">
    <w:abstractNumId w:val="18"/>
  </w:num>
  <w:num w:numId="12">
    <w:abstractNumId w:val="7"/>
  </w:num>
  <w:num w:numId="13">
    <w:abstractNumId w:val="5"/>
  </w:num>
  <w:num w:numId="14">
    <w:abstractNumId w:val="33"/>
  </w:num>
  <w:num w:numId="15">
    <w:abstractNumId w:val="0"/>
  </w:num>
  <w:num w:numId="16">
    <w:abstractNumId w:val="14"/>
  </w:num>
  <w:num w:numId="17">
    <w:abstractNumId w:val="10"/>
  </w:num>
  <w:num w:numId="18">
    <w:abstractNumId w:val="24"/>
  </w:num>
  <w:num w:numId="19">
    <w:abstractNumId w:val="6"/>
  </w:num>
  <w:num w:numId="20">
    <w:abstractNumId w:val="21"/>
  </w:num>
  <w:num w:numId="21">
    <w:abstractNumId w:val="35"/>
  </w:num>
  <w:num w:numId="22">
    <w:abstractNumId w:val="36"/>
  </w:num>
  <w:num w:numId="23">
    <w:abstractNumId w:val="20"/>
  </w:num>
  <w:num w:numId="24">
    <w:abstractNumId w:val="26"/>
  </w:num>
  <w:num w:numId="25">
    <w:abstractNumId w:val="9"/>
  </w:num>
  <w:num w:numId="26">
    <w:abstractNumId w:val="2"/>
  </w:num>
  <w:num w:numId="27">
    <w:abstractNumId w:val="39"/>
  </w:num>
  <w:num w:numId="28">
    <w:abstractNumId w:val="23"/>
  </w:num>
  <w:num w:numId="29">
    <w:abstractNumId w:val="31"/>
  </w:num>
  <w:num w:numId="30">
    <w:abstractNumId w:val="19"/>
  </w:num>
  <w:num w:numId="31">
    <w:abstractNumId w:val="13"/>
  </w:num>
  <w:num w:numId="32">
    <w:abstractNumId w:val="1"/>
  </w:num>
  <w:num w:numId="33">
    <w:abstractNumId w:val="15"/>
  </w:num>
  <w:num w:numId="34">
    <w:abstractNumId w:val="3"/>
  </w:num>
  <w:num w:numId="35">
    <w:abstractNumId w:val="29"/>
  </w:num>
  <w:num w:numId="36">
    <w:abstractNumId w:val="17"/>
  </w:num>
  <w:num w:numId="37">
    <w:abstractNumId w:val="12"/>
  </w:num>
  <w:num w:numId="38">
    <w:abstractNumId w:val="16"/>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EF"/>
    <w:rsid w:val="000019D7"/>
    <w:rsid w:val="00012F84"/>
    <w:rsid w:val="00022B3B"/>
    <w:rsid w:val="00022C18"/>
    <w:rsid w:val="000233FC"/>
    <w:rsid w:val="00031A99"/>
    <w:rsid w:val="00035100"/>
    <w:rsid w:val="00046966"/>
    <w:rsid w:val="0004745B"/>
    <w:rsid w:val="0007030D"/>
    <w:rsid w:val="000C74FC"/>
    <w:rsid w:val="000D111B"/>
    <w:rsid w:val="000D5CD4"/>
    <w:rsid w:val="000D7F6B"/>
    <w:rsid w:val="000E7E29"/>
    <w:rsid w:val="000F5F00"/>
    <w:rsid w:val="000F6088"/>
    <w:rsid w:val="001122CA"/>
    <w:rsid w:val="001148F1"/>
    <w:rsid w:val="00120867"/>
    <w:rsid w:val="0013238C"/>
    <w:rsid w:val="00145CB0"/>
    <w:rsid w:val="0016544E"/>
    <w:rsid w:val="001725D7"/>
    <w:rsid w:val="00182D8C"/>
    <w:rsid w:val="001A237B"/>
    <w:rsid w:val="001B47D6"/>
    <w:rsid w:val="001C15AE"/>
    <w:rsid w:val="001C1D71"/>
    <w:rsid w:val="001C61EB"/>
    <w:rsid w:val="001D3A8F"/>
    <w:rsid w:val="001D6620"/>
    <w:rsid w:val="001F0784"/>
    <w:rsid w:val="001F0B0E"/>
    <w:rsid w:val="001F2546"/>
    <w:rsid w:val="001F48AC"/>
    <w:rsid w:val="00215C41"/>
    <w:rsid w:val="00236135"/>
    <w:rsid w:val="00242C18"/>
    <w:rsid w:val="00281AF9"/>
    <w:rsid w:val="00292249"/>
    <w:rsid w:val="002A26D7"/>
    <w:rsid w:val="002A6E6E"/>
    <w:rsid w:val="002B5B84"/>
    <w:rsid w:val="002E06AF"/>
    <w:rsid w:val="002E0867"/>
    <w:rsid w:val="002E3988"/>
    <w:rsid w:val="00320748"/>
    <w:rsid w:val="00330560"/>
    <w:rsid w:val="00331550"/>
    <w:rsid w:val="00333826"/>
    <w:rsid w:val="00334180"/>
    <w:rsid w:val="003378C3"/>
    <w:rsid w:val="00341A69"/>
    <w:rsid w:val="003425EF"/>
    <w:rsid w:val="00346513"/>
    <w:rsid w:val="0037644A"/>
    <w:rsid w:val="00386AEA"/>
    <w:rsid w:val="003A1E6D"/>
    <w:rsid w:val="003A296C"/>
    <w:rsid w:val="003C15B1"/>
    <w:rsid w:val="003F7A77"/>
    <w:rsid w:val="00405194"/>
    <w:rsid w:val="00440D28"/>
    <w:rsid w:val="00442BDD"/>
    <w:rsid w:val="004731FA"/>
    <w:rsid w:val="00482156"/>
    <w:rsid w:val="00487A5D"/>
    <w:rsid w:val="00490453"/>
    <w:rsid w:val="004A2E50"/>
    <w:rsid w:val="004B0032"/>
    <w:rsid w:val="004C20F5"/>
    <w:rsid w:val="004D40C3"/>
    <w:rsid w:val="004E7407"/>
    <w:rsid w:val="00520377"/>
    <w:rsid w:val="0052377C"/>
    <w:rsid w:val="005274B7"/>
    <w:rsid w:val="005368DE"/>
    <w:rsid w:val="00545551"/>
    <w:rsid w:val="005563BE"/>
    <w:rsid w:val="00557AE6"/>
    <w:rsid w:val="00564B73"/>
    <w:rsid w:val="00565F88"/>
    <w:rsid w:val="00575337"/>
    <w:rsid w:val="00581CD5"/>
    <w:rsid w:val="005855F9"/>
    <w:rsid w:val="005B344D"/>
    <w:rsid w:val="005B5F3E"/>
    <w:rsid w:val="005C5266"/>
    <w:rsid w:val="005C583F"/>
    <w:rsid w:val="005D1FF3"/>
    <w:rsid w:val="005E2C11"/>
    <w:rsid w:val="005E5496"/>
    <w:rsid w:val="005F3A3C"/>
    <w:rsid w:val="00600DB5"/>
    <w:rsid w:val="00630501"/>
    <w:rsid w:val="00635F4C"/>
    <w:rsid w:val="006367CF"/>
    <w:rsid w:val="00646ED1"/>
    <w:rsid w:val="00657B25"/>
    <w:rsid w:val="00693AE9"/>
    <w:rsid w:val="006A6156"/>
    <w:rsid w:val="006B3868"/>
    <w:rsid w:val="006C485F"/>
    <w:rsid w:val="006D07CC"/>
    <w:rsid w:val="006E571E"/>
    <w:rsid w:val="006F6198"/>
    <w:rsid w:val="007101B6"/>
    <w:rsid w:val="00713C39"/>
    <w:rsid w:val="00714FEE"/>
    <w:rsid w:val="00731A03"/>
    <w:rsid w:val="00733F07"/>
    <w:rsid w:val="007367C3"/>
    <w:rsid w:val="00746763"/>
    <w:rsid w:val="007639B5"/>
    <w:rsid w:val="00797BF8"/>
    <w:rsid w:val="007B0C96"/>
    <w:rsid w:val="007C55BB"/>
    <w:rsid w:val="007D0A61"/>
    <w:rsid w:val="007D6C6F"/>
    <w:rsid w:val="007E078C"/>
    <w:rsid w:val="007F2A58"/>
    <w:rsid w:val="008018E2"/>
    <w:rsid w:val="00803AA2"/>
    <w:rsid w:val="00806C89"/>
    <w:rsid w:val="008071D8"/>
    <w:rsid w:val="00810EC6"/>
    <w:rsid w:val="00821BB1"/>
    <w:rsid w:val="00830A33"/>
    <w:rsid w:val="008470F7"/>
    <w:rsid w:val="008528EA"/>
    <w:rsid w:val="00852ABA"/>
    <w:rsid w:val="00865E02"/>
    <w:rsid w:val="00877267"/>
    <w:rsid w:val="0088466A"/>
    <w:rsid w:val="00896C4F"/>
    <w:rsid w:val="00896DA2"/>
    <w:rsid w:val="008B1621"/>
    <w:rsid w:val="008C02D7"/>
    <w:rsid w:val="008C4F5F"/>
    <w:rsid w:val="008E40ED"/>
    <w:rsid w:val="008F3D6E"/>
    <w:rsid w:val="009250A5"/>
    <w:rsid w:val="00941023"/>
    <w:rsid w:val="00943141"/>
    <w:rsid w:val="00951EAF"/>
    <w:rsid w:val="00994562"/>
    <w:rsid w:val="009A2BB1"/>
    <w:rsid w:val="009C7A0C"/>
    <w:rsid w:val="009D76D3"/>
    <w:rsid w:val="00A1635F"/>
    <w:rsid w:val="00A2597C"/>
    <w:rsid w:val="00A27B81"/>
    <w:rsid w:val="00A344C5"/>
    <w:rsid w:val="00A55F3A"/>
    <w:rsid w:val="00A71B13"/>
    <w:rsid w:val="00A8217B"/>
    <w:rsid w:val="00A947BE"/>
    <w:rsid w:val="00AB0B47"/>
    <w:rsid w:val="00AB7BA9"/>
    <w:rsid w:val="00AC5F55"/>
    <w:rsid w:val="00AC6538"/>
    <w:rsid w:val="00AC7CC5"/>
    <w:rsid w:val="00AD63CC"/>
    <w:rsid w:val="00AF1EF5"/>
    <w:rsid w:val="00B0029E"/>
    <w:rsid w:val="00B15F97"/>
    <w:rsid w:val="00B37828"/>
    <w:rsid w:val="00B50F44"/>
    <w:rsid w:val="00B5239B"/>
    <w:rsid w:val="00B53930"/>
    <w:rsid w:val="00B62D3D"/>
    <w:rsid w:val="00B77FD6"/>
    <w:rsid w:val="00B94409"/>
    <w:rsid w:val="00BA226F"/>
    <w:rsid w:val="00BA46CC"/>
    <w:rsid w:val="00BB3E66"/>
    <w:rsid w:val="00BC035F"/>
    <w:rsid w:val="00BC1821"/>
    <w:rsid w:val="00BC46E6"/>
    <w:rsid w:val="00BC5FBA"/>
    <w:rsid w:val="00BC72C5"/>
    <w:rsid w:val="00BD0C39"/>
    <w:rsid w:val="00BE6BEF"/>
    <w:rsid w:val="00C06DC1"/>
    <w:rsid w:val="00C4449F"/>
    <w:rsid w:val="00C4451F"/>
    <w:rsid w:val="00C62DCF"/>
    <w:rsid w:val="00C6687F"/>
    <w:rsid w:val="00C73560"/>
    <w:rsid w:val="00C80FB5"/>
    <w:rsid w:val="00C8277D"/>
    <w:rsid w:val="00C83B91"/>
    <w:rsid w:val="00C90AAE"/>
    <w:rsid w:val="00C91B27"/>
    <w:rsid w:val="00C947EE"/>
    <w:rsid w:val="00CC2C75"/>
    <w:rsid w:val="00CF18D7"/>
    <w:rsid w:val="00D03912"/>
    <w:rsid w:val="00D14FDD"/>
    <w:rsid w:val="00D26129"/>
    <w:rsid w:val="00D27B45"/>
    <w:rsid w:val="00D56DFF"/>
    <w:rsid w:val="00D81B77"/>
    <w:rsid w:val="00D839F7"/>
    <w:rsid w:val="00D91541"/>
    <w:rsid w:val="00DA30DA"/>
    <w:rsid w:val="00DA74F5"/>
    <w:rsid w:val="00DB03B2"/>
    <w:rsid w:val="00DB0D0A"/>
    <w:rsid w:val="00DB23FB"/>
    <w:rsid w:val="00DC5F94"/>
    <w:rsid w:val="00DE322E"/>
    <w:rsid w:val="00DF08E1"/>
    <w:rsid w:val="00DF7D5D"/>
    <w:rsid w:val="00E000D6"/>
    <w:rsid w:val="00E0667D"/>
    <w:rsid w:val="00E06A6D"/>
    <w:rsid w:val="00E10383"/>
    <w:rsid w:val="00E5055D"/>
    <w:rsid w:val="00E53924"/>
    <w:rsid w:val="00E54EAD"/>
    <w:rsid w:val="00E72F65"/>
    <w:rsid w:val="00E72F66"/>
    <w:rsid w:val="00E7358A"/>
    <w:rsid w:val="00E9112D"/>
    <w:rsid w:val="00E9767C"/>
    <w:rsid w:val="00EB3081"/>
    <w:rsid w:val="00EC47B2"/>
    <w:rsid w:val="00ED6780"/>
    <w:rsid w:val="00ED6EB7"/>
    <w:rsid w:val="00EF1550"/>
    <w:rsid w:val="00EF1690"/>
    <w:rsid w:val="00EF1973"/>
    <w:rsid w:val="00EF37E6"/>
    <w:rsid w:val="00F3124E"/>
    <w:rsid w:val="00F42023"/>
    <w:rsid w:val="00F6152C"/>
    <w:rsid w:val="00F658D9"/>
    <w:rsid w:val="00F80A72"/>
    <w:rsid w:val="00F80EF0"/>
    <w:rsid w:val="00F84F72"/>
    <w:rsid w:val="00F8545C"/>
    <w:rsid w:val="00FA765B"/>
    <w:rsid w:val="00FB0AA7"/>
    <w:rsid w:val="00FC6CA7"/>
    <w:rsid w:val="00FD5D31"/>
    <w:rsid w:val="00FE1E15"/>
    <w:rsid w:val="00FE664F"/>
    <w:rsid w:val="00FE7583"/>
    <w:rsid w:val="00FE7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50AEE"/>
  <w15:docId w15:val="{CD9A286C-F1CE-4E8B-86D7-F688D194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83"/>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4948</Characters>
  <Application>Microsoft Office Word</Application>
  <DocSecurity>0</DocSecurity>
  <Lines>41</Lines>
  <Paragraphs>11</Paragraphs>
  <ScaleCrop>false</ScaleCrop>
  <Company>HOME</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root</dc:creator>
  <cp:lastModifiedBy>Admin</cp:lastModifiedBy>
  <cp:revision>3</cp:revision>
  <cp:lastPrinted>2017-12-22T01:56:00Z</cp:lastPrinted>
  <dcterms:created xsi:type="dcterms:W3CDTF">2018-03-19T01:16:00Z</dcterms:created>
  <dcterms:modified xsi:type="dcterms:W3CDTF">2018-05-10T07:44:00Z</dcterms:modified>
</cp:coreProperties>
</file>